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 M L U V A</w:t>
      </w:r>
      <w:bookmarkStart w:id="0" w:name="_GoBack"/>
      <w:bookmarkEnd w:id="0"/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kusového automatu</w:t>
      </w:r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, 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  <w:t>Rudolf OROSZ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Sv. Ladislava 109, 040 14 Košice – Košická Nová Ves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 : 10699601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1024498574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IBAN:SK4702000000003229861451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+421 903 421 026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 ZMLUVY</w:t>
      </w:r>
    </w:p>
    <w:p>
      <w:pPr>
        <w:jc w:val="center"/>
        <w:rPr>
          <w:b/>
          <w:sz w:val="24"/>
          <w:szCs w:val="24"/>
        </w:rPr>
      </w:pPr>
    </w:p>
    <w:p>
      <w:pPr>
        <w:pStyle w:val="Zarkazkladnhotextu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zmluvy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kusového automatu na hokejové </w:t>
      </w:r>
      <w:proofErr w:type="spellStart"/>
      <w:r>
        <w:rPr>
          <w:rFonts w:ascii="Times New Roman" w:hAnsi="Times New Roman"/>
          <w:sz w:val="24"/>
          <w:szCs w:val="24"/>
        </w:rPr>
        <w:t>potreby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priestoroch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zimného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štadióna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Humennom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pStyle w:val="Zarkazkladnhotextu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VÝŠKA  A  SPLATNOSŤ  POPLATKOV</w:t>
      </w:r>
    </w:p>
    <w:p>
      <w:pPr>
        <w:jc w:val="center"/>
        <w:rPr>
          <w:b/>
          <w:sz w:val="24"/>
          <w:szCs w:val="24"/>
        </w:rPr>
      </w:pPr>
    </w:p>
    <w:p>
      <w:pPr>
        <w:pStyle w:val="Zarkazkladnhotextu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Nájomca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zaväzuje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uhradiť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prenajímateľovi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dohodnutú</w:t>
      </w:r>
      <w:proofErr w:type="spellEnd"/>
      <w:r>
        <w:rPr>
          <w:rFonts w:ascii="Times New Roman" w:hAnsi="Times New Roman"/>
          <w:sz w:val="24"/>
          <w:szCs w:val="24"/>
        </w:rPr>
        <w:t xml:space="preserve"> cenu za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kusového automatu na hokejové </w:t>
      </w:r>
      <w:proofErr w:type="spellStart"/>
      <w:r>
        <w:rPr>
          <w:rFonts w:ascii="Times New Roman" w:hAnsi="Times New Roman"/>
          <w:sz w:val="24"/>
          <w:szCs w:val="24"/>
        </w:rPr>
        <w:t>potreby</w:t>
      </w:r>
      <w:proofErr w:type="spellEnd"/>
      <w:r>
        <w:rPr>
          <w:rFonts w:ascii="Times New Roman" w:hAnsi="Times New Roman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výške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25€/m2/rok.</w:t>
      </w:r>
    </w:p>
    <w:p>
      <w:pPr>
        <w:pStyle w:val="Zarkazkladnhotextu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</w:pPr>
      <w:r>
        <w:rPr>
          <w:bCs/>
        </w:rPr>
        <w:t>Výška úhrady nájomného sa stanovuje: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4"/>
        </w:numPr>
        <w:suppressAutoHyphens/>
        <w:contextualSpacing/>
        <w:jc w:val="both"/>
        <w:rPr>
          <w:bCs/>
        </w:rPr>
      </w:pPr>
      <w:r>
        <w:rPr>
          <w:b/>
          <w:bCs/>
        </w:rPr>
        <w:t>1 m</w:t>
      </w:r>
      <w:r>
        <w:rPr>
          <w:b/>
          <w:bCs/>
          <w:vertAlign w:val="superscript"/>
        </w:rPr>
        <w:t xml:space="preserve">2 </w:t>
      </w:r>
      <w:r>
        <w:rPr>
          <w:b/>
          <w:bCs/>
        </w:rPr>
        <w:t>x 25 €/1 m</w:t>
      </w:r>
      <w:r>
        <w:rPr>
          <w:b/>
          <w:bCs/>
          <w:vertAlign w:val="superscript"/>
        </w:rPr>
        <w:t xml:space="preserve">2 </w:t>
      </w:r>
      <w:r>
        <w:rPr>
          <w:bCs/>
        </w:rPr>
        <w:t>/</w:t>
      </w:r>
      <w:r>
        <w:rPr>
          <w:b/>
          <w:bCs/>
        </w:rPr>
        <w:t>rok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25,00 €</w:t>
      </w:r>
    </w:p>
    <w:p>
      <w:pPr>
        <w:suppressAutoHyphens/>
        <w:ind w:left="1353"/>
        <w:contextualSpacing/>
        <w:jc w:val="both"/>
        <w:rPr>
          <w:bCs/>
        </w:rPr>
      </w:pPr>
    </w:p>
    <w:p>
      <w:pPr>
        <w:pStyle w:val="Zarkazkladnhotextu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Ročnú</w:t>
      </w:r>
      <w:proofErr w:type="spellEnd"/>
      <w:r>
        <w:rPr>
          <w:rFonts w:ascii="Times New Roman" w:hAnsi="Times New Roman"/>
          <w:sz w:val="24"/>
          <w:szCs w:val="24"/>
        </w:rPr>
        <w:t xml:space="preserve"> úhradu za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kusového automatu na hokejové </w:t>
      </w:r>
      <w:proofErr w:type="spellStart"/>
      <w:r>
        <w:rPr>
          <w:rFonts w:ascii="Times New Roman" w:hAnsi="Times New Roman"/>
          <w:sz w:val="24"/>
          <w:szCs w:val="24"/>
        </w:rPr>
        <w:t>potreby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nájomca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zaväzuje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uhradiť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sz w:val="24"/>
          <w:szCs w:val="24"/>
        </w:rPr>
        <w:t>základe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vystavenej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faktúry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suppressAutoHyphens/>
        <w:spacing w:before="12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Nájomné za umiestnenie kusového automatu na hokejové potreby v prípade minimálnych cien za nájom nebytových priestorov podľa Zásad hospodárenia a nakladanie s majetkom mesta Humenné bude každoročne upravované o percento miery inflácie po oficiálnom zverejnení Štatistickým úradom Slovenskej republiky, ale maximálne do výšky 5%.</w:t>
      </w: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PLATNOSŤ   ZMLUVY</w:t>
      </w:r>
    </w:p>
    <w:p>
      <w:pPr>
        <w:jc w:val="center"/>
        <w:rPr>
          <w:b/>
          <w:sz w:val="24"/>
          <w:szCs w:val="24"/>
        </w:rPr>
      </w:pPr>
    </w:p>
    <w:p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Nájomný pomer vzniká dňom  </w:t>
      </w:r>
      <w:r>
        <w:rPr>
          <w:b/>
          <w:bCs/>
          <w:sz w:val="24"/>
          <w:szCs w:val="24"/>
        </w:rPr>
        <w:t>01.10.2021.</w:t>
      </w:r>
      <w:r>
        <w:rPr>
          <w:bCs/>
          <w:sz w:val="24"/>
          <w:szCs w:val="24"/>
        </w:rPr>
        <w:t xml:space="preserve"> </w:t>
      </w:r>
    </w:p>
    <w:p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Zmluva sa uzatvára na dobu neurčitú. Platnosť nadobúda dňom jej podpísania  obidvoma zmluvnými stranami. Účinnosť nadobudne dňom nasledujúcim po dni jej zverejnenia na webovej stránke prenajímateľa.</w:t>
      </w:r>
    </w:p>
    <w:p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Počas doby platnosti zmluvy môže prenajímateľ i nájomca zmluvu vypovedať bez udania dôvodu, a to písomne v jednomesačnej výpovednej lehote, alebo vzájomnou dohodou obidvoch strán o zániku zmluvy.</w:t>
      </w:r>
      <w:r>
        <w:rPr>
          <w:sz w:val="24"/>
          <w:szCs w:val="24"/>
        </w:rPr>
        <w:t xml:space="preserve"> Výpovedná lehota začína plynúť prvým dňom po mesiaci, v ktorom bola výpoveď doručená.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>
      <w:pPr>
        <w:pStyle w:val="Nadpis1"/>
        <w:rPr>
          <w:szCs w:val="24"/>
        </w:rPr>
      </w:pPr>
      <w:r>
        <w:rPr>
          <w:szCs w:val="24"/>
        </w:rPr>
        <w:t>ĎALŠIE  DOJEDNANIA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sa zaväzuje udržiavať čistotu a poriadok v okolí detského automatu a priebežne odstraňovať všetky nedostatky a poruchy na detskom automate.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kvalitu produktov zodpovedá nájomca.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sa zaväzuje dodržiavať predpisy o požiarnej ochrane, dodržiavať bezpečnostné a hygienické predpisy.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Prenajímateľ nezodpovedá za spôsobené škody na detskom automate.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zabezpečí prevádzku detského automatu na vlastné náklady.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je vyhotovená v 2 vyhotoveniach. Každá strany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jedno vyhotovenie.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Akékoľvek zmeny a doplnky v zmluve musia byť prevedené písomne a musia ju podpísať obe zmluvné strany.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Zkladntext"/>
        <w:rPr>
          <w:szCs w:val="24"/>
        </w:rPr>
      </w:pPr>
    </w:p>
    <w:p>
      <w:pPr>
        <w:pStyle w:val="Zkladntext"/>
        <w:rPr>
          <w:szCs w:val="24"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 Humennom dňa ...............................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Rudolf OROSZ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Správa rekreačných a športových zariadení Humenné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Mgr. Peter </w:t>
            </w:r>
            <w:proofErr w:type="spellStart"/>
            <w:r>
              <w:rPr>
                <w:bCs/>
                <w:sz w:val="24"/>
                <w:szCs w:val="24"/>
              </w:rPr>
              <w:t>Ždiňak</w:t>
            </w:r>
            <w:proofErr w:type="spellEnd"/>
          </w:p>
        </w:tc>
      </w:tr>
    </w:tbl>
    <w:p>
      <w:pPr>
        <w:pStyle w:val="Zkladntext"/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>
      <w:start w:val="1"/>
      <w:numFmt w:val="lowerRoman"/>
      <w:lvlText w:val="%3."/>
      <w:lvlJc w:val="right"/>
      <w:pPr>
        <w:ind w:left="2175" w:hanging="180"/>
      </w:pPr>
    </w:lvl>
    <w:lvl w:ilvl="3" w:tplc="041B000F">
      <w:start w:val="1"/>
      <w:numFmt w:val="decimal"/>
      <w:lvlText w:val="%4."/>
      <w:lvlJc w:val="left"/>
      <w:pPr>
        <w:ind w:left="2895" w:hanging="360"/>
      </w:pPr>
    </w:lvl>
    <w:lvl w:ilvl="4" w:tplc="041B0019">
      <w:start w:val="1"/>
      <w:numFmt w:val="lowerLetter"/>
      <w:lvlText w:val="%5."/>
      <w:lvlJc w:val="left"/>
      <w:pPr>
        <w:ind w:left="3615" w:hanging="360"/>
      </w:pPr>
    </w:lvl>
    <w:lvl w:ilvl="5" w:tplc="041B001B">
      <w:start w:val="1"/>
      <w:numFmt w:val="lowerRoman"/>
      <w:lvlText w:val="%6."/>
      <w:lvlJc w:val="right"/>
      <w:pPr>
        <w:ind w:left="4335" w:hanging="180"/>
      </w:pPr>
    </w:lvl>
    <w:lvl w:ilvl="6" w:tplc="041B000F">
      <w:start w:val="1"/>
      <w:numFmt w:val="decimal"/>
      <w:lvlText w:val="%7."/>
      <w:lvlJc w:val="left"/>
      <w:pPr>
        <w:ind w:left="5055" w:hanging="360"/>
      </w:pPr>
    </w:lvl>
    <w:lvl w:ilvl="7" w:tplc="041B0019">
      <w:start w:val="1"/>
      <w:numFmt w:val="lowerLetter"/>
      <w:lvlText w:val="%8."/>
      <w:lvlJc w:val="left"/>
      <w:pPr>
        <w:ind w:left="5775" w:hanging="360"/>
      </w:pPr>
    </w:lvl>
    <w:lvl w:ilvl="8" w:tplc="041B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2D46B4"/>
    <w:multiLevelType w:val="hybridMultilevel"/>
    <w:tmpl w:val="860E612E"/>
    <w:lvl w:ilvl="0" w:tplc="FB8AA76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18C64CD"/>
    <w:multiLevelType w:val="hybridMultilevel"/>
    <w:tmpl w:val="B57243CC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25</cp:revision>
  <cp:lastPrinted>2020-01-22T12:30:00Z</cp:lastPrinted>
  <dcterms:created xsi:type="dcterms:W3CDTF">2016-11-10T07:12:00Z</dcterms:created>
  <dcterms:modified xsi:type="dcterms:W3CDTF">2021-10-05T08:22:00Z</dcterms:modified>
</cp:coreProperties>
</file>