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D O D A T O K č. 7</w:t>
      </w:r>
    </w:p>
    <w:p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 xml:space="preserve">k Zmluve </w:t>
      </w:r>
      <w:r>
        <w:rPr>
          <w:b/>
          <w:sz w:val="28"/>
          <w:szCs w:val="28"/>
        </w:rPr>
        <w:t>o nájme a podnájme nebytových priestorov zo dňa 02.02.2004</w:t>
      </w:r>
    </w:p>
    <w:p>
      <w:pPr>
        <w:widowControl w:val="0"/>
        <w:pBdr>
          <w:bottom w:val="double" w:sz="2" w:space="2" w:color="000000"/>
        </w:pBdr>
        <w:autoSpaceDE w:val="0"/>
        <w:jc w:val="center"/>
      </w:pPr>
      <w:r>
        <w:t xml:space="preserve">uzavretá v zmysle zákona č. 116/1990 Z. z. v znení neskorších predpisov </w:t>
      </w:r>
    </w:p>
    <w:p>
      <w:pPr>
        <w:widowControl w:val="0"/>
        <w:pBdr>
          <w:bottom w:val="double" w:sz="2" w:space="2" w:color="000000"/>
        </w:pBdr>
        <w:autoSpaceDE w:val="0"/>
        <w:jc w:val="center"/>
        <w:rPr>
          <w:rFonts w:eastAsia="Courier New" w:cs="Courier New"/>
          <w:color w:val="000000"/>
        </w:rPr>
      </w:pPr>
      <w:r>
        <w:t>(ďalej len „Dodatok“)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b/>
          <w:bCs/>
          <w:szCs w:val="20"/>
        </w:rPr>
      </w:pPr>
    </w:p>
    <w:p>
      <w:pPr>
        <w:widowControl w:val="0"/>
        <w:autoSpaceDE w:val="0"/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bCs/>
          <w:color w:val="000000"/>
          <w:szCs w:val="20"/>
        </w:rPr>
        <w:t>medzi zmluvnými stranami:</w:t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</w:rPr>
      </w:pPr>
      <w:r>
        <w:rPr>
          <w:b/>
          <w:bCs/>
          <w:sz w:val="28"/>
          <w:szCs w:val="28"/>
        </w:rPr>
        <w:t>Prenajímateľ:</w:t>
      </w:r>
      <w:r>
        <w:rPr>
          <w:b/>
          <w:bCs/>
          <w:sz w:val="28"/>
          <w:szCs w:val="28"/>
        </w:rPr>
        <w:tab/>
        <w:t>Správa rekreačných a 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5907/7, 066 01  Humenné</w:t>
      </w:r>
    </w:p>
    <w:p>
      <w:pPr>
        <w:widowControl w:val="0"/>
        <w:tabs>
          <w:tab w:val="left" w:pos="3967"/>
        </w:tabs>
        <w:autoSpaceDE w:val="0"/>
        <w:ind w:left="2124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riaditeľa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00520560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tabs>
          <w:tab w:val="left" w:pos="2145"/>
        </w:tabs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 s., pobočka Humenné</w:t>
      </w:r>
      <w:r>
        <w:rPr>
          <w:szCs w:val="20"/>
        </w:rPr>
        <w:br/>
      </w:r>
      <w:r>
        <w:rPr>
          <w:szCs w:val="20"/>
        </w:rPr>
        <w:tab/>
        <w:t xml:space="preserve">Č. účtu: 8907524001/5600      </w:t>
      </w:r>
    </w:p>
    <w:p>
      <w:pPr>
        <w:widowControl w:val="0"/>
        <w:tabs>
          <w:tab w:val="left" w:pos="2145"/>
        </w:tabs>
        <w:autoSpaceDE w:val="0"/>
      </w:pPr>
      <w:r>
        <w:rPr>
          <w:szCs w:val="20"/>
        </w:rPr>
        <w:tab/>
        <w:t>(ďalej len „prenajímateľ“)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Cs w:val="20"/>
        </w:rPr>
      </w:pPr>
      <w:r>
        <w:rPr>
          <w:b w:val="0"/>
        </w:rPr>
        <w:t>a</w:t>
      </w:r>
    </w:p>
    <w:p>
      <w:pPr>
        <w:widowControl w:val="0"/>
        <w:autoSpaceDE w:val="0"/>
        <w:rPr>
          <w:rFonts w:eastAsia="Courier New" w:cs="Courier New"/>
          <w:b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30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Cs w:val="20"/>
        </w:rPr>
        <w:t>Nájomca:</w:t>
      </w:r>
      <w:r>
        <w:rPr>
          <w:b/>
          <w:szCs w:val="20"/>
        </w:rPr>
        <w:tab/>
      </w:r>
      <w:r>
        <w:rPr>
          <w:rFonts w:eastAsia="Courier New" w:cs="Courier New"/>
          <w:b/>
          <w:bCs/>
          <w:color w:val="000000"/>
          <w:szCs w:val="20"/>
        </w:rPr>
        <w:t xml:space="preserve">Anton </w:t>
      </w:r>
      <w:proofErr w:type="spellStart"/>
      <w:r>
        <w:rPr>
          <w:rFonts w:eastAsia="Courier New" w:cs="Courier New"/>
          <w:b/>
          <w:bCs/>
          <w:color w:val="000000"/>
          <w:szCs w:val="20"/>
        </w:rPr>
        <w:t>Marinčák</w:t>
      </w:r>
      <w:proofErr w:type="spellEnd"/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color w:val="000000"/>
          <w:szCs w:val="20"/>
        </w:rPr>
      </w:pPr>
      <w:r>
        <w:rPr>
          <w:rFonts w:eastAsia="Courier New" w:cs="Courier New"/>
          <w:b/>
          <w:bCs/>
          <w:color w:val="000000"/>
          <w:szCs w:val="20"/>
        </w:rPr>
        <w:tab/>
        <w:t>s</w:t>
      </w:r>
      <w:r>
        <w:rPr>
          <w:rFonts w:eastAsia="Courier New" w:cs="Courier New"/>
          <w:color w:val="000000"/>
          <w:szCs w:val="20"/>
        </w:rPr>
        <w:t>ídlo: Námestie slobody 20/49, 066 01  Humenné</w:t>
      </w:r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b/>
          <w:bCs/>
          <w:color w:val="000000"/>
          <w:szCs w:val="20"/>
        </w:rPr>
      </w:pPr>
      <w:r>
        <w:rPr>
          <w:rFonts w:eastAsia="Courier New" w:cs="Courier New"/>
          <w:color w:val="000000"/>
          <w:szCs w:val="20"/>
        </w:rPr>
        <w:tab/>
        <w:t xml:space="preserve">IČO: 37370561 </w:t>
      </w:r>
    </w:p>
    <w:p>
      <w:pPr>
        <w:widowControl w:val="0"/>
        <w:tabs>
          <w:tab w:val="left" w:pos="2130"/>
        </w:tabs>
        <w:autoSpaceDE w:val="0"/>
      </w:pPr>
      <w:r>
        <w:rPr>
          <w:rFonts w:eastAsia="Courier New" w:cs="Courier New"/>
          <w:b/>
          <w:bCs/>
          <w:color w:val="000000"/>
          <w:szCs w:val="20"/>
        </w:rPr>
        <w:tab/>
      </w:r>
      <w:r>
        <w:t>(ďalej len „nájomca“)</w:t>
      </w:r>
    </w:p>
    <w:p>
      <w:pPr>
        <w:pStyle w:val="Zkladntext21"/>
        <w:tabs>
          <w:tab w:val="left" w:pos="2270"/>
        </w:tabs>
      </w:pPr>
    </w:p>
    <w:p>
      <w:pPr>
        <w:jc w:val="both"/>
      </w:pPr>
      <w:r>
        <w:t>Na základe dohody sa Zmluva o nájme a podnájme nebytových priestorov z  02.02.2004 mení a dopĺňa takto: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5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2,7 % na sumu 13,86 € / m2/rok </w:t>
      </w:r>
    </w:p>
    <w:p>
      <w:pPr>
        <w:numPr>
          <w:ilvl w:val="0"/>
          <w:numId w:val="6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7"/>
        </w:numPr>
        <w:ind w:firstLine="66"/>
        <w:jc w:val="both"/>
        <w:rPr>
          <w:bCs/>
        </w:rPr>
      </w:pPr>
      <w:r>
        <w:rPr>
          <w:bCs/>
        </w:rPr>
        <w:t>36,80 m</w:t>
      </w:r>
      <w:r>
        <w:rPr>
          <w:bCs/>
          <w:vertAlign w:val="superscript"/>
        </w:rPr>
        <w:t xml:space="preserve">2 </w:t>
      </w:r>
      <w:r>
        <w:rPr>
          <w:bCs/>
        </w:rPr>
        <w:t>x 13,86 €/1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510</w:t>
      </w:r>
      <w:r>
        <w:rPr>
          <w:b/>
          <w:bCs/>
        </w:rPr>
        <w:t>,05 €</w:t>
      </w:r>
      <w:r>
        <w:rPr>
          <w:bCs/>
        </w:rPr>
        <w:tab/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42,50 €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nájme a podnájme nebytových priestorov z 02.02.2004 a dodatkov k nej, týmto dodatkom č.7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7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lastRenderedPageBreak/>
        <w:t xml:space="preserve">Tento dodatok č.7 k Zmluve o nájme a podnájme nebytových priestorov z 02.02.2004 a dodatkov k nej, je platný od </w:t>
      </w:r>
      <w:r>
        <w:rPr>
          <w:b/>
          <w:bCs/>
        </w:rPr>
        <w:t>01.01.2020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22.01.2020</w:t>
            </w:r>
            <w:bookmarkStart w:id="0" w:name="_GoBack"/>
            <w:bookmarkEnd w:id="0"/>
            <w:r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Anton </w:t>
            </w:r>
            <w:proofErr w:type="spellStart"/>
            <w:r>
              <w:rPr>
                <w:b/>
                <w:bCs/>
              </w:rPr>
              <w:t>Marinčák</w:t>
            </w:r>
            <w:proofErr w:type="spellEnd"/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ind w:left="15"/>
        <w:jc w:val="both"/>
        <w:rPr>
          <w:bCs/>
        </w:rPr>
      </w:pPr>
      <w:r>
        <w:rPr>
          <w:bCs/>
        </w:rPr>
        <w:tab/>
        <w:t xml:space="preserve">               </w:t>
      </w:r>
    </w:p>
    <w:p>
      <w:pPr>
        <w:ind w:left="15"/>
        <w:jc w:val="both"/>
        <w:rPr>
          <w:bCs/>
        </w:rPr>
      </w:pPr>
    </w:p>
    <w:p>
      <w:pPr>
        <w:pStyle w:val="Zkladntext21"/>
        <w:tabs>
          <w:tab w:val="left" w:pos="2270"/>
        </w:tabs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83"/>
        </w:tabs>
        <w:ind w:left="1083" w:hanging="363"/>
      </w:pPr>
      <w:rPr>
        <w:rFonts w:ascii="Wingdings" w:hAnsi="Wingdings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8</cp:revision>
  <cp:lastPrinted>2019-01-21T12:06:00Z</cp:lastPrinted>
  <dcterms:created xsi:type="dcterms:W3CDTF">2018-01-25T08:03:00Z</dcterms:created>
  <dcterms:modified xsi:type="dcterms:W3CDTF">2020-01-22T09:45:00Z</dcterms:modified>
</cp:coreProperties>
</file>